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1.GemGebRefGBbg (Brandenburg) — Wahlgebiet</w:t>
      </w:r>
    </w:p>
    <w:p>
      <w:r>
        <w:rPr>
          <w:color w:val="555555"/>
          <w:sz w:val="18"/>
        </w:rPr>
        <w:t xml:space="preserve">Erstes Gesetz zur landesweiten Gemeindegebietsreform betreffend die kreisfreie Stadt Brandenburg an der Havel und die Gemeinden Gollwitz und Wust des Amtes Emster-Havel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Wahlgebiet im Sinne des § 3 Abs. 3 des Brandenburgischen</w:t>
      </w:r>
    </w:p>
    <w:p>
      <w:r>
        <w:t xml:space="preserve">Kommunalwahlgesetzes ist für die neu gebildete oder durch Eingliederung</w:t>
      </w:r>
    </w:p>
    <w:p>
      <w:r>
        <w:t xml:space="preserve">erweiterte Gemeinde das am Tage der landesweiten Kommunalwahlen 2003</w:t>
      </w:r>
    </w:p>
    <w:p>
      <w:r>
        <w:t xml:space="preserve">entstandene Gebiet.</w:t>
      </w:r>
    </w:p>
    <w:p>
      <w:r>
        <w:rPr>
          <w:color w:val="555555"/>
          <w:sz w:val="17"/>
        </w:rPr>
        <w:t xml:space="preserve">Zitiervorschlag: § 6 1.GemGebRefGBbg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https://recht.nulegal.eu/gesetze/1.GemGebRefGBbg/6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