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1.GemGebRefGBbg (Brandenburg) — Entsprechende Anwendung von Rechtsvorschriften</w:t>
      </w:r>
    </w:p>
    <w:p>
      <w:r>
        <w:rPr>
          <w:color w:val="555555"/>
          <w:sz w:val="18"/>
        </w:rPr>
        <w:t xml:space="preserve">Erstes Gesetz zur landesweiten Gemeindegebietsreform betreffend die kreisfreie Stadt Brandenburg an der Havel und die Gemeinden Gollwitz und Wust des Amtes Emster-Havel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§§ 23, 25 Abs. 1 und 3, §§ 26, 27, 29</w:t>
      </w:r>
    </w:p>
    <w:p>
      <w:r>
        <w:t xml:space="preserve">und 30 des Vierten Gesetzes zur landesweiten Gemeindegebietsreform betreffend</w:t>
      </w:r>
    </w:p>
    <w:p>
      <w:r>
        <w:t xml:space="preserve">die Landkreise Havelland, Potsdam-Mittelmark, Teltow-Fläming gelten</w:t>
      </w:r>
    </w:p>
    <w:p>
      <w:r>
        <w:t xml:space="preserve">entsprechend, soweit diese die Eingliederung einer Gemeinde betreffen.</w:t>
      </w:r>
    </w:p>
    <w:p>
      <w:r>
        <w:rPr>
          <w:color w:val="555555"/>
          <w:sz w:val="17"/>
        </w:rPr>
        <w:t xml:space="preserve">Zitiervorschlag: § 4 1.GemGebRefGBbg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https://recht.nulegal.eu/gesetze/1.GemGebRefGBbg/4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