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1.GemGebRefGBbg (Brandenburg) — Rechtsnachfolge</w:t>
      </w:r>
    </w:p>
    <w:p>
      <w:r>
        <w:rPr>
          <w:color w:val="555555"/>
          <w:sz w:val="18"/>
        </w:rPr>
        <w:t xml:space="preserve">Erstes Gesetz zur landesweiten Gemeindegebietsreform betreffend die kreisfreie Stadt Brandenburg an der Havel und die Gemeinden Gollwitz und Wust des Amtes Emster-Havel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aufnehmende kreisfreie Stadt ist Rechtsnachfolgerin der</w:t>
      </w:r>
    </w:p>
    <w:p>
      <w:r>
        <w:t xml:space="preserve">eingegliederten Gemeinden.</w:t>
      </w:r>
    </w:p>
    <w:p>
      <w:r>
        <w:rPr>
          <w:color w:val="555555"/>
          <w:sz w:val="17"/>
        </w:rPr>
        <w:t xml:space="preserve">Zitiervorschlag: § 2 1.GemGebRefGBbg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https://recht.nulegal.eu/gesetze/1.GemGebRefGBbg/2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