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1.BbgRBG (Brandenburg)</w:t>
      </w:r>
    </w:p>
    <w:p>
      <w:r>
        <w:rPr>
          <w:color w:val="555555"/>
          <w:sz w:val="18"/>
        </w:rPr>
        <w:t xml:space="preserve">Erstes Brandenburgisches Rechtsbereinigungsgesetz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jeweils zuständige Mitglied der Landesregierung wird ermächtigt, die in der Anlage zu diesem Gesetz enthaltenen Vorschriften oder Vorschriftenteile im Gesetz- und Verordnungsblatt für das Land Brandenburg bekanntzumachen.</w:t>
      </w:r>
    </w:p>
    <w:p>
      <w:r>
        <w:t xml:space="preserve">(2) Überschriften können vereinfacht, Unstimmigkeiten des Textes beseitigt, Einleitungs- und Schlußformeln sowie Unterschriften weggelassen werden, soweit hierdurch nicht die Bezeichnung der gesetzlichen Grundlage betroffen wird.</w:t>
      </w:r>
    </w:p>
    <w:p>
      <w:r>
        <w:t xml:space="preserve">(3) Überholte Bezeichnungen, Zuständigkeiten und Verweisungen können angepaßt oder kenntlich gemacht werden.</w:t>
      </w:r>
    </w:p>
    <w:p>
      <w:r>
        <w:t xml:space="preserve">(4) Nachträgliche Änderungen und Aufhebungen von Vorschriften können bei der Neubekanntmachung berücksichtigt werden.</w:t>
      </w:r>
    </w:p>
    <w:p>
      <w:r>
        <w:rPr>
          <w:color w:val="555555"/>
          <w:sz w:val="17"/>
        </w:rPr>
        <w:t xml:space="preserve">Zitiervorschlag: § 6 1.BbgRBG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https://recht.nulegal.eu/gesetze/1.BbgRBG/6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