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1.BbgRBG (Brandenburg)</w:t>
      </w:r>
    </w:p>
    <w:p>
      <w:r>
        <w:rPr>
          <w:color w:val="555555"/>
          <w:sz w:val="18"/>
        </w:rPr>
        <w:t xml:space="preserve">Erstes Brandenburgisches Rechtsbereinigungsgesetz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Von der Aufhebung nach § 1 Abs. 1 ausgenommen sind:</w:t>
      </w:r>
    </w:p>
    <w:p>
      <w:r>
        <w:t xml:space="preserve">Staatsverträge und Abkommen einschließlich der zu ihrer Inkraftsetzung ergangenen Vorschriften,</w:t>
      </w:r>
    </w:p>
    <w:p>
      <w:r>
        <w:t xml:space="preserve">Vorschriften, die die Angelegenheiten der Kirchen und Religionsgemeinschaften und die Beziehungen zwischen Staat und Kirchen sowie Religionsgemeinschaften regeln (staatsrechtliche einschließlich kirchensteuerrechtliche Vorschriften),</w:t>
      </w:r>
    </w:p>
    <w:p>
      <w:r>
        <w:t xml:space="preserve">Satzungen öffentlich-rechtlicher Körperschaften, Anstalten und Stiftungen,</w:t>
      </w:r>
    </w:p>
    <w:p>
      <w:r>
        <w:t xml:space="preserve">Vorschriften über die Errichtung, Zuständigkeit, Gliederung und Aufhebung von Verwaltungsbehörden und von öffentlich-rechtlichen Körperschaften, Anstalten und Stiftungen, wenn sie nicht in der Form eines Gesetzes oder einer Rechtsverordnung erlassen worden sind,</w:t>
      </w:r>
    </w:p>
    <w:p>
      <w:r>
        <w:t xml:space="preserve">Vorschriften über die Änderung der Grenzen von Gemeinden und Kreisen sowie die Verleihung von Stadtrechten,</w:t>
      </w:r>
    </w:p>
    <w:p>
      <w:r>
        <w:t xml:space="preserve">Vorschriften mit einem räumlich beschränkten Geltungsbereich, wenn sie von einer Behörde erlassen worden waren, die einer obersten Landesbehörde nachgeordnet war oder deren Dienstaufsicht unterstand,</w:t>
      </w:r>
    </w:p>
    <w:p>
      <w:r>
        <w:t xml:space="preserve">Vorschriften, soweit sie in geltenden Rechtsvorschriften für anwendbar erklärt sind,</w:t>
      </w:r>
    </w:p>
    <w:p>
      <w:r>
        <w:t xml:space="preserve">Vorschriften, die das Land Brandenburg bis zum 25. Juli 1952 erlassen hat, und sonstige Vorschriften, die vor dem 7. Oktober 1949 in Kraft getreten sind,</w:t>
      </w:r>
    </w:p>
    <w:p>
      <w:r>
        <w:t xml:space="preserve">Gewohnheitsrecht.</w:t>
      </w:r>
    </w:p>
    <w:p>
      <w:r>
        <w:rPr>
          <w:color w:val="555555"/>
          <w:sz w:val="17"/>
        </w:rPr>
        <w:t xml:space="preserve">Zitiervorschlag: § 2 1.BbgRBG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https://recht.nulegal.eu/gesetze/1.BbgRBG/2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