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1-DM-GoldmünzG — Inverkehrbringen</w:t>
      </w:r>
    </w:p>
    <w:p>
      <w:r>
        <w:rPr>
          <w:color w:val="555555"/>
          <w:sz w:val="18"/>
        </w:rPr>
        <w:t xml:space="preserve">Gesetz über die Ausprägung einer 1-DM-Goldmünze und die Errichtung der Stiftung "Geld und Währung"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1-DM-Goldmünzen werden unbeschadet des Artikels 106 Abs. 2 Satz 1 des Vertrages zur Gründung der Europäischen Gemeinschaft durch die Deutsche Bundesbank und die Verkaufsstelle für Sammlermünzen bei der Bundesschuldenverwaltung in den Verkehr gebracht.</w:t>
      </w:r>
    </w:p>
    <w:p>
      <w:r>
        <w:rPr>
          <w:color w:val="555555"/>
          <w:sz w:val="17"/>
        </w:rPr>
        <w:t xml:space="preserve">Zitiervorschlag: § 6 1-DM-GoldmünzG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https://recht.nulegal.eu/gesetze/1-DM-Goldm%C3%BCnzG/6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1-DM-GoldmünzG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