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14 - HWFVO (Nordrhein-Westfalen) — Berichtswesen</w:t>
      </w:r>
    </w:p>
    <w:p>
      <w:r>
        <w:rPr>
          <w:color w:val="555555"/>
          <w:sz w:val="18"/>
        </w:rPr>
        <w:t xml:space="preserve">Hochschulwirtschaftsführungsverordnung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Berichtspflichten der Hochschulen zum Stelleninformationssystem und aus den Ziel- und Leistungsvereinbarungen bleiben unberührt.</w:t>
      </w:r>
    </w:p>
    <w:p>
      <w:r>
        <w:t xml:space="preserve">(2) Die Hochschulen übersenden dem Ministerium die mit dem jährlichen Zuweisungsschreiben angeforderten Unterlagen.</w:t>
      </w:r>
    </w:p>
    <w:p>
      <w:r>
        <w:t xml:space="preserve">(3) Das Ministerium kann für die Haushaltsaufstellung des Landes weitere Unterlagen anfordern, insbesondere solche, die dem für Finanzen zuständige Ministerium zur Aufstellung des Entwurfs des Haushaltsplans vorzulegen sind.</w:t>
      </w:r>
    </w:p>
    <w:p>
      <w:r>
        <w:rPr>
          <w:color w:val="555555"/>
          <w:sz w:val="17"/>
        </w:rPr>
        <w:t xml:space="preserve">Zitiervorschlag: § 14 - HWFVO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https://recht.nulegal.eu/gesetze/-%20HWFVO/14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