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1 - HWFVO (Nordrhein-Westfalen) — Geltungsbereich</w:t>
      </w:r>
    </w:p>
    <w:p>
      <w:r>
        <w:rPr>
          <w:color w:val="555555"/>
          <w:sz w:val="18"/>
        </w:rPr>
        <w:t xml:space="preserve">Hochschulwirtschaftsführungsverordnung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Verordnung gilt für die in § 1 Absatz 2 des Hochschulgesetzes vom 16. September 2014 (GV. NRW. S. 547) in der jeweils geltenden Fassung genannten Universitäten und Fachhochschulen.</w:t>
      </w:r>
    </w:p>
    <w:p>
      <w:r>
        <w:t xml:space="preserve">(2) Ministerium im Sinne dieser Verordnung ist das für die Rechtsaufsicht über die Hochschulen nach § 101 Absatz 1 des Hochschulgesetzes zuständige Ministerium.</w:t>
      </w:r>
    </w:p>
    <w:p>
      <w:r>
        <w:rPr>
          <w:color w:val="555555"/>
          <w:sz w:val="17"/>
        </w:rPr>
        <w:t xml:space="preserve">Zitiervorschlag: § 1 - HWFVO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https://recht.nulegal.eu/gesetze/-%20HWFVO/1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