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ÜblG2§10DV</w:t>
      </w:r>
    </w:p>
    <w:p>
      <w:r>
        <w:rPr>
          <w:color w:val="555555"/>
          <w:sz w:val="18"/>
        </w:rPr>
        <w:t xml:space="preserve">Verordnung zur Durchführung des § 10 des Zweiten Überleitungsgesetzes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April 1950 in Kraft. Sie gilt gemäß § 14 des Gesetzes über die Stellung des Landes Berlin im Finanzsystem des Bundes (Drittes Überleitungsgesetz) vom 4. Januar 1952 (Bundesgesetzbl. I S. 1) mit Wirkung vom 1. April 1951 auch im Land Berlin.</w:t>
      </w:r>
    </w:p>
    <w:p>
      <w:r>
        <w:rPr>
          <w:color w:val="555555"/>
          <w:sz w:val="17"/>
        </w:rPr>
        <w:t xml:space="preserve">Zitiervorschlag: § 4 ÜblG2§10DV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https://recht.nulegal.eu/gesetze/%C3%9CblG2%C2%A710DV/4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