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13 ÜblG 5 — Inkrafttreten</w:t>
      </w:r>
    </w:p>
    <w:p>
      <w:r>
        <w:rPr>
          <w:color w:val="555555"/>
          <w:sz w:val="18"/>
        </w:rPr>
        <w:t xml:space="preserve">Fünftes Überleitungsgesetz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Dieses Gesetz tritt am Tage nach seiner Verkündung in Kraft.</w:t>
      </w:r>
    </w:p>
    <w:p>
      <w:r>
        <w:rPr>
          <w:color w:val="555555"/>
          <w:sz w:val="17"/>
        </w:rPr>
        <w:t xml:space="preserve">Zitiervorschlag: § 13 ÜblG 5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https://recht.nulegal.eu/gesetze/%C3%9CblG%205/13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