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ÜblG 4 — Auskunftspflicht</w:t>
      </w:r>
    </w:p>
    <w:p>
      <w:r>
        <w:rPr>
          <w:color w:val="555555"/>
          <w:sz w:val="18"/>
        </w:rPr>
        <w:t xml:space="preserve">Viertes Überleitungsgesetz</w:t>
      </w:r>
    </w:p>
    <w:p>
      <w:r>
        <w:rPr>
          <w:color w:val="555555"/>
          <w:sz w:val="18"/>
        </w:rPr>
        <w:t xml:space="preserve">Stand: 10.06.2019 (konsolidierte Textfassung, kein amtliches Inkrafttretensdatum)</w:t>
      </w:r>
    </w:p>
    <w:p>
      <w:r>
        <w:t xml:space="preserve">Die zuständigen Bundesbehörden und Landesbehörden sind verpflichtet, sich gegenseitig die zur Durchführung dieses Gesetzes erforderlichen Auskünfte zu erteilen und auf Verlangen die sachliche Richtigkeit der Auskünfte von der obersten Rechnungsprüfungsbehörde bestätigen zu lassen.</w:t>
      </w:r>
    </w:p>
    <w:p>
      <w:r>
        <w:rPr>
          <w:color w:val="555555"/>
          <w:sz w:val="17"/>
        </w:rPr>
        <w:t xml:space="preserve">Zitiervorschlag: § 6 ÜblG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