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ÜblG 4 — Kriegsfolgelasten</w:t>
      </w:r>
    </w:p>
    <w:p>
      <w:r>
        <w:rPr>
          <w:color w:val="555555"/>
          <w:sz w:val="18"/>
        </w:rPr>
        <w:t xml:space="preserve">Viertes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...</w:t>
      </w:r>
    </w:p>
    <w:p>
      <w:r>
        <w:t xml:space="preserve">(2) Soweit gesetzlich bestimmt ist, daß der Bund Leistungen im gleichen Umfang oder Verhältnis wie die Aufwendungen der Kriegsfolgenhilfe oder wie die im Rahmen der Kriegsfolgenhilfe anfallenden Fürsorgekosten trägt, gilt § 21a des Ersten Überleitungsgesetzes entsprechend.</w:t>
      </w:r>
    </w:p>
    <w:p>
      <w:r>
        <w:t xml:space="preserve">(3) ...</w:t>
      </w:r>
    </w:p>
    <w:p>
      <w:r>
        <w:t xml:space="preserve">(4) ...</w:t>
      </w:r>
    </w:p>
    <w:p>
      <w:r>
        <w:t xml:space="preserve">(5) ...</w:t>
      </w:r>
    </w:p>
    <w:p>
      <w:r>
        <w:rPr>
          <w:color w:val="555555"/>
          <w:sz w:val="17"/>
        </w:rPr>
        <w:t xml:space="preserve">Zitiervorschlag: § 2 ÜblG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