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ÜblG 4 — Inkrafttreten</w:t>
      </w:r>
    </w:p>
    <w:p>
      <w:r>
        <w:rPr>
          <w:color w:val="555555"/>
          <w:sz w:val="18"/>
        </w:rPr>
        <w:t xml:space="preserve">Viertes 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ist erstmals für das Rechnungsjahr 1955 anzuwenden; es tritt am Tage nach seiner Verkündung in Kraft.</w:t>
      </w:r>
    </w:p>
    <w:p>
      <w:r>
        <w:rPr>
          <w:color w:val="555555"/>
          <w:sz w:val="17"/>
        </w:rPr>
        <w:t xml:space="preserve">Zitiervorschlag: § 11 ÜblG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https://recht.nulegal.eu/gesetze/%C3%9CblG%204/11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