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ÜblG 2</w:t>
      </w:r>
    </w:p>
    <w:p>
      <w:r>
        <w:rPr>
          <w:color w:val="555555"/>
          <w:sz w:val="18"/>
        </w:rPr>
        <w:t xml:space="preserve">Zweites Überleitungsgesetz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Soweit die Bestimmungen der Artikel I und II den Übergang von Versorgungsausgaben auf den Bund regeln, sind diese Bestimmungen und die Bestimmungen des § 6 auf den Personenkreis nicht anzuwenden, der durch Kapitel I des Gesetzes zur Regelung der Rechtsverhältnisse der unter Artikel 131 des Grundgesetzes fallenden Personen vom 11. Mai 1951 (Bundesgesetzbl. I S. 307) erfaßt wird; die Bestimmungen des § 1 Abs. 1 Ziff. 7 und des § 2 Ziff. 7 des Ersten Gesetzes zur Überleitung von Lasten und Deckungsmitteln auf den Bund vom 28. November 1950 (Bundesgesetzbl. S. 773) bleiben unberührt.</w:t>
      </w:r>
    </w:p>
    <w:p>
      <w:r>
        <w:rPr>
          <w:color w:val="555555"/>
          <w:sz w:val="17"/>
        </w:rPr>
        <w:t xml:space="preserve">Zitiervorschlag: § 9 ÜblG 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https://recht.nulegal.eu/gesetze/%C3%9CblG%202/9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