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ÜblG 2</w:t>
      </w:r>
    </w:p>
    <w:p>
      <w:r>
        <w:rPr>
          <w:color w:val="555555"/>
          <w:sz w:val="18"/>
        </w:rPr>
        <w:t xml:space="preserve">Zweites Überleitungsgesetz</w:t>
      </w:r>
    </w:p>
    <w:p>
      <w:r>
        <w:rPr>
          <w:color w:val="555555"/>
          <w:sz w:val="18"/>
        </w:rPr>
        <w:t xml:space="preserve">Stand: 10.06.2019 (konsolidierte Textfassung, kein amtliches Inkrafttretensdatum)</w:t>
      </w:r>
    </w:p>
    <w:p>
      <w:r>
        <w:t xml:space="preserve">(1) Die Ausgaben für die Versorgung der ehemaligen Verwaltungsangehörigen der in der Anlage bezeichneten ehemaligen Reichsbehörden, Reichsbetriebe und Zonenbehörden sowie der Hinterbliebenen dieser Verwaltungsangehörigen gehen auf den Bund über.</w:t>
      </w:r>
    </w:p>
    <w:p>
      <w:r>
        <w:t xml:space="preserve">(2) § 8 Abs. 2 des Gesetzes über den Bundesfinanzhof vom 29. Juni 1950 (Bundesgesetzbl. S. 257) bleibt unberührt.</w:t>
      </w:r>
    </w:p>
    <w:p>
      <w:r>
        <w:t xml:space="preserve">(3) Erweist sich das in der Anlage enthaltene Verzeichnis der ehemaligen Reichsbehörden, Reichsbetriebe und Zonenbehörden als unvollständig, so kann die Bundesregierung das Verzeichnis nach den Grundsätzen dieses Gesetzes durch eine mit Zustimmung des Bundesrates zu erlassende Rechtsverordnung ergänzen.</w:t>
      </w:r>
    </w:p>
    <w:p>
      <w:r>
        <w:rPr>
          <w:color w:val="555555"/>
          <w:sz w:val="17"/>
        </w:rPr>
        <w:t xml:space="preserve">Zitiervorschlag: § 4 ÜblG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https://recht.nulegal.eu/gesetze/%C3%9CblG%202/4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ÜblG 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