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ÜblG 2</w:t>
      </w:r>
    </w:p>
    <w:p>
      <w:r>
        <w:rPr>
          <w:color w:val="555555"/>
          <w:sz w:val="18"/>
        </w:rPr>
        <w:t xml:space="preserve">Zweites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April 1950 in Kraft, soweit sich nicht aus seinen Bestimmungen etwas anderes ergibt.</w:t>
      </w:r>
    </w:p>
    <w:p>
      <w:r>
        <w:rPr>
          <w:color w:val="555555"/>
          <w:sz w:val="17"/>
        </w:rPr>
        <w:t xml:space="preserve">Zitiervorschlag: § 16 ÜblG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https://recht.nulegal.eu/gesetze/%C3%9CblG%202/16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ÜblG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