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der Kriegsfolgenhilfe sind die auf Grund gesetzlicher Anordnung von den Bezirksfürsorgeverbänden, den Landesfürsorgeverbänden oder den Ländern geleisteten Fürsorgekosten für Kriegsfolgenhilfe-Empfänger.</w:t>
      </w:r>
    </w:p>
    <w:p>
      <w:r>
        <w:t xml:space="preserve">(2) Kriegsfolgenhilfe-Empfänger sind</w:t>
      </w:r>
    </w:p>
    <w:p>
      <w:pPr>
        <w:ind w:left="420"/>
      </w:pPr>
      <w:r>
        <w:t xml:space="preserve">1. Heimatvertriebene,</w:t>
      </w:r>
    </w:p>
    <w:p>
      <w:pPr>
        <w:ind w:left="420"/>
      </w:pPr>
      <w:r>
        <w:t xml:space="preserve">2. Evakuierte,</w:t>
      </w:r>
    </w:p>
    <w:p>
      <w:pPr>
        <w:ind w:left="420"/>
      </w:pPr>
      <w:r>
        <w:t xml:space="preserve">3. Zugewanderte aus der sowjetischen Besatzungszone und der Stadt Berlin,</w:t>
      </w:r>
    </w:p>
    <w:p>
      <w:pPr>
        <w:ind w:left="420"/>
      </w:pPr>
      <w:r>
        <w:t xml:space="preserve">4. Ausländer und Staatenlose,</w:t>
      </w:r>
    </w:p>
    <w:p>
      <w:pPr>
        <w:ind w:left="420"/>
      </w:pPr>
      <w:r>
        <w:t xml:space="preserve">5. Angehörige von Kriegsgefangenen und Vermißten.</w:t>
      </w:r>
    </w:p>
    <w:p>
      <w:r>
        <w:rPr>
          <w:color w:val="555555"/>
          <w:sz w:val="17"/>
        </w:rPr>
        <w:t xml:space="preserve">Zitiervorschlag: § 7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