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ÜblG 1</w:t>
      </w:r>
    </w:p>
    <w:p>
      <w:r>
        <w:rPr>
          <w:color w:val="555555"/>
          <w:sz w:val="18"/>
        </w:rPr>
        <w:t xml:space="preserve">Erstes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 im Sinne des § 1 Abs. 1 Ziff. 2 sind</w:t>
      </w:r>
    </w:p>
    <w:p>
      <w:pPr>
        <w:ind w:left="420"/>
      </w:pPr>
      <w:r>
        <w:t xml:space="preserve">1. Aufwendungen im Zusammenhang mit Lohn- und Gehaltszahlungen an Arbeitskräfte, die im Dienst der Besatzungsmächte stehen,</w:t>
      </w:r>
    </w:p>
    <w:p>
      <w:pPr>
        <w:ind w:left="420"/>
      </w:pPr>
      <w:r>
        <w:t xml:space="preserve">2. Aufwendungen zur Durchführung der Entmilitarisierung,</w:t>
      </w:r>
    </w:p>
    <w:p>
      <w:pPr>
        <w:ind w:left="420"/>
      </w:pPr>
      <w:r>
        <w:t xml:space="preserve">3. Aufwendungen im Zusammenhang mit der Durchführung von Besatzungsbauten,</w:t>
      </w:r>
    </w:p>
    <w:p>
      <w:pPr>
        <w:ind w:left="420"/>
      </w:pPr>
      <w:r>
        <w:t xml:space="preserve">4. Aufwendungen im Zusammenhang mit der Inanspruchnahme von Grundstücken, Gebäuden und Gebäudeteilen (Nutzungen, Transport, Lagerung, Schaffung von Ersatzraum und dergleichen),</w:t>
      </w:r>
    </w:p>
    <w:p>
      <w:pPr>
        <w:ind w:left="420"/>
      </w:pPr>
      <w:r>
        <w:t xml:space="preserve">5. Aufwendungen im Zusammenhang mit der Inanspruchnahme von Jagd- und Fischereirechten, soweit die Inanspruchnahme für die Zeit nach dem 31. März 1950 stattgefunden hat,</w:t>
      </w:r>
    </w:p>
    <w:p>
      <w:pPr>
        <w:ind w:left="420"/>
      </w:pPr>
      <w:r>
        <w:t xml:space="preserve">6. Aufwendungen für den Bau, die Unterhaltung und die Wiederherstellung von Straßen und Brücken,</w:t>
      </w:r>
    </w:p>
    <w:p>
      <w:pPr>
        <w:ind w:left="420"/>
      </w:pPr>
      <w:r>
        <w:t xml:space="preserve">7. Aufwendungen zum Ausgleich von Besatzungsschäden und Belegungsschäden an im Eigentum der Länder und sonstiger Gebietskörperschaften stehenden Grundstücken und beweglichen Sachen, soweit die Schäden nach dem 31. März 1950 entstanden sind,</w:t>
      </w:r>
    </w:p>
    <w:p>
      <w:pPr>
        <w:ind w:left="420"/>
      </w:pPr>
      <w:r>
        <w:t xml:space="preserve">8. Aufwendungen zum Ausgleich von Härten, die sich im Zusammenhang mit der Inanspruchnahme von Grundstücken oder beweglichen Sachen oder durch Besatzungsschäden ergeben,</w:t>
      </w:r>
    </w:p>
    <w:p>
      <w:pPr>
        <w:ind w:left="420"/>
      </w:pPr>
      <w:r>
        <w:t xml:space="preserve">9. Aufwendungen zur Durchführung von Reparationen und Restitutionen,</w:t>
      </w:r>
    </w:p>
    <w:p>
      <w:pPr>
        <w:ind w:left="420"/>
      </w:pPr>
      <w:r>
        <w:t xml:space="preserve">10. Aufwendungen im Zusammenhang mit alliierter Gerichtsbarkeit,</w:t>
      </w:r>
    </w:p>
    <w:p>
      <w:pPr>
        <w:ind w:left="420"/>
      </w:pPr>
      <w:r>
        <w:t xml:space="preserve">11. Aufwendungen für Bewachung, Feuerwehr und polizeiliche Hilfseinrichtungen,</w:t>
      </w:r>
    </w:p>
    <w:p>
      <w:pPr>
        <w:ind w:left="420"/>
      </w:pPr>
      <w:r>
        <w:t xml:space="preserve">12. Aufwendungen für hygienische Zwecke, für Quarantäne und für Lazarette für heimatlose Ausländer.</w:t>
      </w:r>
    </w:p>
    <w:p>
      <w:r>
        <w:t xml:space="preserve">(2) Die in Absatz 1 bezeichneten Aufwendungen gehen auf den Bund nur insoweit über, als sie durch Anordnungen der Besatzungsmächte verursacht sind.</w:t>
      </w:r>
    </w:p>
    <w:p>
      <w:r>
        <w:t xml:space="preserve">(3) Die in Absatz 1 Ziff. 9 bis 12 bezeichneten Aufwendungen gehen nur für das Rechnungsjahr 1950 auf den Bund über.</w:t>
      </w:r>
    </w:p>
    <w:p>
      <w:r>
        <w:t xml:space="preserve">(4) Die Bundesregierung wird ermächtigt, die in Absatz 1 bezeichneten Aufwendungen durch eine mit Zustimmung des Bundesrates zu erlassende Rechtsverordnung näher zu bestimmen.</w:t>
      </w:r>
    </w:p>
    <w:p>
      <w:r>
        <w:rPr>
          <w:color w:val="555555"/>
          <w:sz w:val="17"/>
        </w:rPr>
        <w:t xml:space="preserve">Zitiervorschlag: § 6 ÜblG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https://recht.nulegal.eu/gesetze/%C3%9CblG%201/6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ÜblG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