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ÜblG 1</w:t>
      </w:r>
    </w:p>
    <w:p>
      <w:r>
        <w:rPr>
          <w:color w:val="555555"/>
          <w:sz w:val="18"/>
        </w:rPr>
        <w:t xml:space="preserve">Erstes Überleitungsgesetz</w:t>
      </w:r>
    </w:p>
    <w:p>
      <w:r>
        <w:rPr>
          <w:color w:val="555555"/>
          <w:sz w:val="18"/>
        </w:rPr>
        <w:t xml:space="preserve">Stand: 10.06.2019 (konsolidierte Textfassung, kein amtliches Inkrafttretensdatum)</w:t>
      </w:r>
    </w:p>
    <w:p>
      <w:r>
        <w:t xml:space="preserve">(1) Die am 31. März 1950 in Geltung gewesenen bundes- und landesrechtlichen Bestimmungen über die in § 1 Abs. 1 aufgeführten Sachgebiete sind weiter anzuwenden, soweit in diesem Gesetz nichts anderes bestimmt ist oder nicht bundesgesetzliche Regelungen seit dem 1. April 1950 getroffen worden sind oder noch getroffen werden.</w:t>
      </w:r>
    </w:p>
    <w:p>
      <w:r>
        <w:t xml:space="preserve">(2) Soweit die Länder oder Gemeinden (Gemeindeverbände) Ausgaben für die in § 1 Abs. 1 aufgeführten Sachgebiete nach § 21 für Rechnung des Bundes leisten, gilt folgendes:</w:t>
      </w:r>
    </w:p>
    <w:p>
      <w:pPr>
        <w:ind w:left="420"/>
      </w:pPr>
      <w:r>
        <w:t xml:space="preserve">1. Auf die für Rechnung des Bundes geleisteten Ausgaben und die mit ihnen zusammenhängenden Einnahmen sind die Vorschriften über das Haushaltsrecht des Bundes anzuwenden. Zur Vereinfachung des Verwaltungsverfahrens kann die Bundesregierung durch Rechtsverordnung, die der Zustimmung des Bundesrates bedarf, für bestimmte Sachgebiete Ausnahmen zulassen. Die für die Ausführung des Haushalts verantwortlichen Bundesbehörden können ihre Befugnisse auf die zuständigen obersten Landesbehörden übertragen und zulassen, daß auf die für Rechnung des Bundes zu leistenden Ausgaben und die mit ihnen zusammenhängenden Einnahmen die landesrechtlichen Vorschriften über die Kassen- und Buchführung der zuständigen Landes- und Gemeindebehörden angewendet werden.</w:t>
      </w:r>
    </w:p>
    <w:p>
      <w:pPr>
        <w:ind w:left="420"/>
      </w:pPr>
      <w:r>
        <w:t xml:space="preserve">2. In Angelegenheiten von grundsätzlicher oder erheblicher finanzieller Bedeutung sind die obersten Landesbehörden hinsichtlich der wirtschaftlichen Verwaltung der Bundesmittel an die Weisungen der obersten Bundesbehörden gebunden. Der Vollzug der Weisungen ist durch die obersten Landesbehörden sicherzustellen.</w:t>
      </w:r>
    </w:p>
    <w:p>
      <w:r>
        <w:rPr>
          <w:color w:val="555555"/>
          <w:sz w:val="17"/>
        </w:rPr>
        <w:t xml:space="preserve">Zitiervorschlag: § 4 ÜblG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https://recht.nulegal.eu/gesetze/%C3%9CblG%201/4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