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Wirkung ab 1. April 1950 gehen auf den Bund über:</w:t>
      </w:r>
    </w:p>
    <w:p>
      <w:pPr>
        <w:ind w:left="420"/>
      </w:pPr>
      <w:r>
        <w:t xml:space="preserve">1. die Umsatzsteuer,</w:t>
      </w:r>
    </w:p>
    <w:p>
      <w:pPr>
        <w:ind w:left="420"/>
      </w:pPr>
      <w:r>
        <w:t xml:space="preserve">2. die der konkurrierenden Gesetzgebung unterworfenen Verbrauchsteuern mit Ausnahme der Biersteuer,</w:t>
      </w:r>
    </w:p>
    <w:p>
      <w:pPr>
        <w:ind w:left="420"/>
      </w:pPr>
      <w:r>
        <w:t xml:space="preserve">3. die Beförderungsteuer,</w:t>
      </w:r>
    </w:p>
    <w:p>
      <w:pPr>
        <w:ind w:left="420"/>
      </w:pPr>
      <w:r>
        <w:t xml:space="preserve">4. die einmaligen Zwecken dienenden Vermögensabgaben,</w:t>
      </w:r>
    </w:p>
    <w:p>
      <w:pPr>
        <w:ind w:left="420"/>
      </w:pPr>
      <w:r>
        <w:t xml:space="preserve">5. der Ertrag der Monopole.</w:t>
      </w:r>
    </w:p>
    <w:p>
      <w:r>
        <w:t xml:space="preserve">(2) Mit Wirkung vom 21. September 1949 gehen von den Ländern Baden, Rheinland-Pfalz und Württemberg-Hohenzollern und vom bayerischen Kreis Lindau auf den Bund über:</w:t>
      </w:r>
    </w:p>
    <w:p>
      <w:pPr>
        <w:ind w:left="420"/>
      </w:pPr>
      <w:r>
        <w:t xml:space="preserve">1. die Zölle,</w:t>
      </w:r>
    </w:p>
    <w:p>
      <w:pPr>
        <w:ind w:left="420"/>
      </w:pPr>
      <w:r>
        <w:t xml:space="preserve">2. die Umsatzausgleichsteuer,</w:t>
      </w:r>
    </w:p>
    <w:p>
      <w:pPr>
        <w:ind w:left="420"/>
      </w:pPr>
      <w:r>
        <w:t xml:space="preserve">3. die Kaffeesteuer,</w:t>
      </w:r>
    </w:p>
    <w:p>
      <w:pPr>
        <w:ind w:left="420"/>
      </w:pPr>
      <w:r>
        <w:t xml:space="preserve">4. die Teesteuer.</w:t>
      </w:r>
    </w:p>
    <w:p>
      <w:r>
        <w:t xml:space="preserve">(3) Die besondere Regelung für die Soforthilfeabgabe bleibt hiervon unberührt.</w:t>
      </w:r>
    </w:p>
    <w:p>
      <w:r>
        <w:rPr>
          <w:color w:val="555555"/>
          <w:sz w:val="17"/>
        </w:rPr>
        <w:t xml:space="preserve">Zitiervorschlag: § 3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ÜblG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