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ÜblG 1</w:t>
      </w:r>
    </w:p>
    <w:p>
      <w:r>
        <w:rPr>
          <w:color w:val="555555"/>
          <w:sz w:val="18"/>
        </w:rPr>
        <w:t xml:space="preserve">Erstes 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Ausgaben für die in § 1 Abs. 1 Ziff. 1, 2, 7 bis 10 aufgeführten Sachgebiete sind für Rechnung des Bundes zu leisten. Die damit zusammenhängenden Einnahmen (§ 1 Abs. 2) sind an den Bund abzuführen.</w:t>
      </w:r>
    </w:p>
    <w:p>
      <w:r>
        <w:t xml:space="preserve">(2) Die Vorschrift des Absatzes 1 gilt auch für die in § 1 Abs. 1 Ziff. 3 zweiter Halbsatz bezeichneten Aufwendungen.</w:t>
      </w:r>
    </w:p>
    <w:p>
      <w:r>
        <w:rPr>
          <w:color w:val="555555"/>
          <w:sz w:val="17"/>
        </w:rPr>
        <w:t xml:space="preserve">Zitiervorschlag: § 21 ÜblG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https://recht.nulegal.eu/gesetze/%C3%9CblG%201/21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