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ÜblG 1</w:t>
      </w:r>
    </w:p>
    <w:p>
      <w:r>
        <w:rPr>
          <w:color w:val="555555"/>
          <w:sz w:val="18"/>
        </w:rPr>
        <w:t xml:space="preserve">Erstes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Zuschüsse zu den Lasten der Sozialversicherung (§ 1 Abs. 1 Ziff. 11) sind die auf Grund der folgenden Bestimmungen und der Verordnung über die Erstreckung von Sozialversicherungsrecht der Verwaltung des Vereinigten Wirtschaftsgebietes auf die Länder Baden, Rheinland-Pfalz, Württemberg-Hohenzollern und den bayerischen Kreis Lindau vom 12. Mai 1950 (Bundesgesetzbl. S. 179) zu leistenden Ausgaben:</w:t>
      </w:r>
    </w:p>
    <w:p>
      <w:pPr>
        <w:ind w:left="420"/>
      </w:pPr>
      <w:r>
        <w:t xml:space="preserve">a) Grundbeträge der Rentenversicherung der Arbeiter (§ 1 Abs. 2 des Sozialversicherungs-Anpassungsgesetzes vom 17. Juni 1949 - WiGBl. S. 99 -);</w:t>
      </w:r>
    </w:p>
    <w:p>
      <w:pPr>
        <w:ind w:left="420"/>
      </w:pPr>
      <w:r>
        <w:t xml:space="preserve">b) Beträge in Höhe der Grundbeträge der Rentenversicherung der Arbeiter von jeder Knappschaftsvollrente, Witwenvollrente und Waisenrente der knappschaftlichen Rentenversicherung (§ 1 Abs. 2 und § 5 Abs. 2 des Knappschaftsversicherungs-Anpassungsgesetzes vom 30. Juni 1949 - WiGBl. S. 202 -);</w:t>
      </w:r>
    </w:p>
    <w:p>
      <w:pPr>
        <w:ind w:left="420"/>
      </w:pPr>
      <w:r>
        <w:t xml:space="preserve">c) Beträge, die zur dauernden Aufrechterhaltung der Leistungen der knappschaftlichen Rentenversicherung erforderlich sind (§ 18 des Sozialversicherungs-Anpassungsgesetzes und § 5 Abs. 4 des Knappschaftsversicherungs-Anpassungsgesetzes);</w:t>
      </w:r>
    </w:p>
    <w:p>
      <w:pPr>
        <w:ind w:left="420"/>
      </w:pPr>
      <w:r>
        <w:t xml:space="preserve">d) Gemeinschaftshilfe des früheren Reichsstocks für Arbeitseinsatz an die knappschaftliche Krankenversicherung (§ 15 des Sozialversicherungs-Anpassungsgesetzes und § 5 Abs. 3 des Knappschaftsversicherungs-Anpassungsgesetzes);</w:t>
      </w:r>
    </w:p>
    <w:p>
      <w:pPr>
        <w:ind w:left="420"/>
      </w:pPr>
      <w:r>
        <w:t xml:space="preserve">e) Mehraufwendungen der Sozialversicherungsträger aus den Vorschriften des Gesetzes über die Behandlung der Verfolgten des Nationalsozialismus in der Sozialversicherung (§ 7 des Gesetzes über die Behandlung der Verfolgten des Nationalsozialismus in der Sozialversicherung vom 22. August 1949 - WiGBl. S. 263 -);</w:t>
      </w:r>
    </w:p>
    <w:p>
      <w:pPr>
        <w:ind w:left="420"/>
      </w:pPr>
      <w:r>
        <w:t xml:space="preserve">f) (entfällt);</w:t>
      </w:r>
    </w:p>
    <w:p>
      <w:pPr>
        <w:ind w:left="420"/>
      </w:pPr>
      <w:r>
        <w:t xml:space="preserve">g) Kosten der Unfallversicherung für ehemalige Reichsbetriebe und für Betriebe der britischen Zone (Sozialversicherungsanordnung Nr. 9 vom 9. Juni 1947 - Arbeitsblatt für die britische Zone S. 233 -);</w:t>
      </w:r>
    </w:p>
    <w:p>
      <w:pPr>
        <w:ind w:left="420"/>
      </w:pPr>
      <w:r>
        <w:t xml:space="preserve">h) Aufwendungen der Sozialversicherungsträger für Ausgleichsbeträge an die im Bundesgebiet wohnenden Berechtigten saarländischer Sozialversicherungsträger;</w:t>
      </w:r>
    </w:p>
    <w:p>
      <w:pPr>
        <w:ind w:left="420"/>
      </w:pPr>
      <w:r>
        <w:t xml:space="preserve">i) Rentenauslagen für im Land Rheinland-Pfalz wohnende Berechtigte der früheren Lothringer Knappschaft.</w:t>
      </w:r>
    </w:p>
    <w:p>
      <w:r>
        <w:rPr>
          <w:color w:val="555555"/>
          <w:sz w:val="17"/>
        </w:rPr>
        <w:t xml:space="preserve">Zitiervorschlag: § 17 ÜblG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https://recht.nulegal.eu/gesetze/%C3%9CblG%201/17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ÜblG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