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ÜblG 1</w:t>
      </w:r>
    </w:p>
    <w:p>
      <w:r>
        <w:rPr>
          <w:color w:val="555555"/>
          <w:sz w:val="18"/>
        </w:rPr>
        <w:t xml:space="preserve">Erstes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mit Zustimmung des Bundesrates</w:t>
      </w:r>
    </w:p>
    <w:p>
      <w:pPr>
        <w:ind w:left="420"/>
      </w:pPr>
      <w:r>
        <w:t xml:space="preserve">1. die in § 7 genannten Personengruppen,</w:t>
      </w:r>
    </w:p>
    <w:p>
      <w:pPr>
        <w:ind w:left="420"/>
      </w:pPr>
      <w:r>
        <w:t xml:space="preserve">2. die in den §§ 8 bis 12 aufgeführten Fürsorgekosten näher zu bestimmen.</w:t>
      </w:r>
    </w:p>
    <w:p>
      <w:r>
        <w:rPr>
          <w:color w:val="555555"/>
          <w:sz w:val="17"/>
        </w:rPr>
        <w:t xml:space="preserve">Zitiervorschlag: § 13 ÜblG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