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ÜbZustV (Brandenburg)</w:t>
      </w:r>
    </w:p>
    <w:p>
      <w:r>
        <w:rPr>
          <w:color w:val="555555"/>
          <w:sz w:val="18"/>
        </w:rPr>
        <w:t xml:space="preserve">Überwachungszuständigkeitsverordnung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am Tage nach der Verkündung in Kraft. Gleichzeitig tritt die Überwachungszuständigkeitsverordnung vom 26. August 2003 ( GVBl. II S. 481), geändert durch Verordnung vom 14. Oktober 2004 (GVBl. II S. 837), außer Kraft.</w:t>
      </w:r>
    </w:p>
    <w:p>
      <w:r>
        <w:t xml:space="preserve">Potsdam, den 29. Juli 2005</w:t>
      </w:r>
    </w:p>
    <w:p>
      <w:r>
        <w:t xml:space="preserve">Der Minister des Innern</w:t>
      </w:r>
    </w:p>
    <w:p>
      <w:r>
        <w:t xml:space="preserve">Jörg Schönbohm</w:t>
      </w:r>
    </w:p>
    <w:p>
      <w:r>
        <w:rPr>
          <w:color w:val="555555"/>
          <w:sz w:val="17"/>
        </w:rPr>
        <w:t xml:space="preserve">Zitiervorschlag: § 2 ÜbZustV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https://recht.nulegal.eu/gesetze/%C3%9CbZustV/2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