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ÜbPrV</w:t>
      </w:r>
    </w:p>
    <w:p>
      <w:r>
        <w:rPr>
          <w:color w:val="555555"/>
          <w:sz w:val="18"/>
        </w:rPr>
        <w:t xml:space="preserve">Übersetzerprüfungsverordnung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53 Absatz 1 in Verbindung mit Absatz 2 des Berufsbildungsgesetzes, dessen Absatz 1 zuletzt durch Artikel 436 Nummer 4 Buchstabe a der Verordnung vom 31. August 2015 (BGBl. I S. 1474) geändert worden ist, verordnet das Bundesministerium für Bildung und Forschung nach Anhörung des Hauptausschusses des Bundesinstituts für Berufsbildung im Einvernehmen mit dem Bundesministerium für Wirtschaft und Energie:</w:t>
      </w:r>
    </w:p>
    <w:p>
      <w:r>
        <w:rPr>
          <w:color w:val="555555"/>
          <w:sz w:val="17"/>
        </w:rPr>
        <w:t xml:space="preserve">Zitiervorschlag: Eingangsformel ÜbPrV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https://recht.nulegal.eu/gesetze/%C3%9CbPrV/eingangsformel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