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ÜbPrV — Durchführung der Prüfung</w:t>
      </w:r>
    </w:p>
    <w:p>
      <w:r>
        <w:rPr>
          <w:color w:val="555555"/>
          <w:sz w:val="18"/>
        </w:rPr>
        <w:t xml:space="preserve">Übersetzerprüfungsverordnung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Prüfung besteht aus der schriftlichen Prüfung nach § 10 und dem Übersetzungsprojekt mit anschließendem Fachgespräch nach § 11.</w:t>
      </w:r>
    </w:p>
    <w:p>
      <w:r>
        <w:t xml:space="preserve">(2) Das Übersetzungsprojekt ist innerhalb von zwei Jahren nach Bekanntgabe des Ergebnisses der schriftlichen Prüfung durchzuführen. Bei Überschreiten der Frist ist die schriftliche Prüfung erneut abzulegen.</w:t>
      </w:r>
    </w:p>
    <w:p>
      <w:r>
        <w:rPr>
          <w:color w:val="555555"/>
          <w:sz w:val="17"/>
        </w:rPr>
        <w:t xml:space="preserve">Zitiervorschlag: § 9 ÜbPrV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https://recht.nulegal.eu/gesetze/%C3%9CbPrV/9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