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13 ÜbPrV — Befreiung von einzelnen Prüfungsbestandteilen</w:t>
      </w:r>
    </w:p>
    <w:p>
      <w:r>
        <w:rPr>
          <w:color w:val="555555"/>
          <w:sz w:val="18"/>
        </w:rPr>
        <w:t xml:space="preserve">Übersetzerprüfungsverordnung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Wird die zu prüfende Person nach § 56 Absatz 2 des Berufsbildungsgesetzes von der Ablegung einzelner Prüfungsbestandteile befreit, bleiben diese Prüfungsbestandteile für die Anwendung der §§ 14 und 15 außer Betracht. Für die übrigen Prüfungsbestandteile erhöhen sich die Anteile nach § 15 Absatz 2 Satz 2 entsprechend ihrem Verhältnis zueinander. Allein diese Prüfungsbestandteile sind den Entscheidungen des Prüfungsausschusses zugrunde zu legen.</w:t>
      </w:r>
    </w:p>
    <w:p>
      <w:r>
        <w:rPr>
          <w:color w:val="555555"/>
          <w:sz w:val="17"/>
        </w:rPr>
        <w:t xml:space="preserve">Zitiervorschlag: § 13 ÜbPrV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https://recht.nulegal.eu/gesetze/%C3%9CbPrV/13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