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ÜZV — Berlin-Klausel</w:t>
      </w:r>
    </w:p>
    <w:p>
      <w:r>
        <w:rPr>
          <w:color w:val="555555"/>
          <w:sz w:val="18"/>
        </w:rPr>
        <w:t xml:space="preserve">Übergangszahlungsverordnung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Artikel I § 82 des Zweiten Gesetzes zur Vereinheitlichung und Neuregelung des Besoldungsrechts in Bund und Ländern vom 23. Mai 1975 (Bundesgesetzbl. I S. 1173) auch im Land Berlin.</w:t>
      </w:r>
    </w:p>
    <w:p>
      <w:r>
        <w:rPr>
          <w:color w:val="555555"/>
          <w:sz w:val="17"/>
        </w:rPr>
        <w:t xml:space="preserve">Zitiervorschlag: § 4 ÜZV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https://recht.nulegal.eu/gesetze/%C3%9CZV/4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