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ÜVOBRAO (Bayern)</w:t>
      </w:r>
    </w:p>
    <w:p>
      <w:r>
        <w:rPr>
          <w:color w:val="555555"/>
          <w:sz w:val="18"/>
        </w:rPr>
        <w:t xml:space="preserve">ÜbertragungsVO-BRAO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224 der Bundesrechtsanwaltsordnung (BGBl III 303-8), zuletzt geändert durch Art. 1 des Gesetzes vom 26. März 2007 (BGBl I S. 358), § 1 des Gesetzes über Ermächtigungen zum Erlass von Rechtsverordnungen vom 3. Juli 1961 (BGBl III 103-1) und § 1 der Verordnung über die Zuständigkeit zum Erlass von Rechtsverordnungen (Delegationsverordnung – DelV) vom 15. Juni 2004 (GVBl S. 239, BayRS 103-2-S), zuletzt geändert durch Verordnung vom 6. März 2007 (GVBl S. 213), erlässt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ÜVOBRAO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https://recht.nulegal.eu/gesetze/%C3%9CVOBRAO/eingangsformel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