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ÜVOBRAO (Bayern)</w:t>
      </w:r>
    </w:p>
    <w:p>
      <w:r>
        <w:rPr>
          <w:color w:val="555555"/>
          <w:sz w:val="18"/>
        </w:rPr>
        <w:t xml:space="preserve">ÜbertragungsVO-BRAO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 Verordnung tritt am 1. Oktober 2007 in Kraft.</w:t>
      </w:r>
    </w:p>
    <w:p>
      <w:r>
        <w:t xml:space="preserve">(2) Mit Ablauf des 30. September 2007 tritt die Verordnung zur Übertragung von Aufgaben und Befugnissen der Landesjustizverwaltung nach §§ 224, 224a der Bundesrechtsanwaltsordnung und nach § 41 Abs. 2 des Gesetzes über die Tätigkeit europäischer Rechtsanwälte in Deutschland vom 14. Juni 2000 (GVBl S. 387, BayRS 303-2-2-J) außer Kraft.</w:t>
      </w:r>
    </w:p>
    <w:p>
      <w:r>
        <w:rPr>
          <w:color w:val="555555"/>
          <w:sz w:val="17"/>
        </w:rPr>
        <w:t xml:space="preserve">Zitiervorschlag: § 3 ÜVOBRAO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https://recht.nulegal.eu/gesetze/%C3%9CVOBRAO/3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