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ÜVOBRAO (Bayern)</w:t>
      </w:r>
    </w:p>
    <w:p>
      <w:r>
        <w:rPr>
          <w:color w:val="555555"/>
          <w:sz w:val="18"/>
        </w:rPr>
        <w:t xml:space="preserve">ÜbertragungsVO-BRAO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Befugnisse, die der Landesjustizverwaltung nach der Bundesrechtsanwaltsordnung zustehen, werden auf die Präsidenten der Oberlandesgerichte übertragen, soweit nicht in § 2 etwas anderes bestimmt ist.</w:t>
      </w:r>
    </w:p>
    <w:p>
      <w:r>
        <w:rPr>
          <w:color w:val="555555"/>
          <w:sz w:val="17"/>
        </w:rPr>
        <w:t xml:space="preserve">Zitiervorschlag: § 1 ÜVOBRAO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https://recht.nulegal.eu/gesetze/%C3%9CVOBRAO/1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