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ÜSchuldStatG — Hilfsmerkmale</w:t>
      </w:r>
    </w:p>
    <w:p>
      <w:r>
        <w:rPr>
          <w:color w:val="555555"/>
          <w:sz w:val="18"/>
        </w:rPr>
        <w:t xml:space="preserve">Überschuldungsstatistikgesetz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Hilfsmerkmale der Erhebung sind</w:t>
      </w:r>
    </w:p>
    <w:p>
      <w:pPr>
        <w:ind w:left="420"/>
      </w:pPr>
      <w:r>
        <w:t xml:space="preserve">1. Name und Anschrift sowie Rufnummer und Adresse für elektronische Post der Schuldner- oder Insolvenzberatungsstelle,</w:t>
      </w:r>
    </w:p>
    <w:p>
      <w:pPr>
        <w:ind w:left="420"/>
      </w:pPr>
      <w:r>
        <w:t xml:space="preserve">2. Namen der Personen, die in der Schuldner- oder Insolvenzberatungsstelle für Rückfragen zur Verfügung stehen,</w:t>
      </w:r>
    </w:p>
    <w:p>
      <w:pPr>
        <w:ind w:left="420"/>
      </w:pPr>
      <w:r>
        <w:t xml:space="preserve">3. Kennzeichen der Schuldner- oder Insolvenzberatungsstelle für die nach § 3 Nummer 4 beratene Person,</w:t>
      </w:r>
    </w:p>
    <w:p>
      <w:pPr>
        <w:ind w:left="420"/>
      </w:pPr>
      <w:r>
        <w:t xml:space="preserve">4. Angabe, ob für eine nach § 3 Nummer 4 beratene Person für vorhergehende Berichtsjahre Daten geliefert wurden.</w:t>
      </w:r>
    </w:p>
    <w:p>
      <w:r>
        <w:t xml:space="preserve">Die Angaben nach den Nummern 1, 3 und 4 dürfen beim Statistischen Bundesamt gespeichert werden, bis die Beratung der Personen bei den Schuldner- oder Insolvenzberatungsstellen beendet ist und die entsprechenden Angaben für die Überschuldungsstatistik vom Statistischen Bundesamt abschließend aufbereitet und geprüft sind.</w:t>
      </w:r>
    </w:p>
    <w:p>
      <w:r>
        <w:rPr>
          <w:color w:val="555555"/>
          <w:sz w:val="17"/>
        </w:rPr>
        <w:t xml:space="preserve">Zitiervorschlag: § 6 ÜSchuldStatG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https://recht.nulegal.eu/gesetze/%C3%9CSchuldStatG/6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