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ÜSchuldStatG — Erhebungseinheiten</w:t>
      </w:r>
    </w:p>
    <w:p>
      <w:r>
        <w:rPr>
          <w:color w:val="555555"/>
          <w:sz w:val="18"/>
        </w:rPr>
        <w:t xml:space="preserve">Überschuldungsstatistikgesetz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Erhebungseinheiten sind</w:t>
      </w:r>
    </w:p>
    <w:p>
      <w:pPr>
        <w:ind w:left="420"/>
      </w:pPr>
      <w:r>
        <w:t xml:space="preserve">1. Schuldner- oder Insolvenzberatungsstellen in der Trägerschaft von Wohlfahrts- und Verbraucherverbänden sowie von Gemeinden, Gemeindeverbänden und sonstigen Körperschaften des öffentlichen Rechts,</w:t>
      </w:r>
    </w:p>
    <w:p>
      <w:pPr>
        <w:ind w:left="420"/>
      </w:pPr>
      <w:r>
        <w:t xml:space="preserve">2. Schuldner- oder Insolvenzberatungsstellen, die als gemeinnützig anerkannt oder als Verein eingetragen und die Mitglied in Wohlfahrts- oder Verbraucherverbänden sind,</w:t>
      </w:r>
    </w:p>
    <w:p>
      <w:pPr>
        <w:ind w:left="420"/>
      </w:pPr>
      <w:r>
        <w:t xml:space="preserve">3. gewerbliche Anbieter von Schuldner- oder Insolvenzberatung, die über eine Anerkennung als geeignete Stelle nach § 305 Absatz 1 Nummer 1 der Insolvenzordnung verfügen,</w:t>
      </w:r>
    </w:p>
    <w:p>
      <w:pPr>
        <w:ind w:left="420"/>
      </w:pPr>
      <w:r>
        <w:t xml:space="preserve">4. Personen, für die von den Schuldner- oder Insolvenzberatungsstellen nach den Nummern 1 bis 3 eine Beratung dokumentiert ist.</w:t>
      </w:r>
    </w:p>
    <w:p>
      <w:r>
        <w:rPr>
          <w:color w:val="555555"/>
          <w:sz w:val="17"/>
        </w:rPr>
        <w:t xml:space="preserve">Zitiervorschlag: § 3 ÜSchuldStatG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https://recht.nulegal.eu/gesetze/%C3%9CSchuldStatG/3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