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ÜSGGewBestV (Brandenburg) — Inkrafttreten, Außerkrafttreten</w:t>
      </w:r>
    </w:p>
    <w:p>
      <w:r>
        <w:rPr>
          <w:color w:val="555555"/>
          <w:sz w:val="18"/>
        </w:rPr>
        <w:t xml:space="preserve">Überschwemmungsgebietsgewässer-Bestimmungsverordnung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Verordnung zur Bestimmung hochwassergeneigter Gewässer und Gewässerabschnitte vom 17. Dezember 2009 ( GVBl. II Nr. 47) außer Kraft.</w:t>
      </w:r>
    </w:p>
    <w:p>
      <w:r>
        <w:t xml:space="preserve">Einzelnorm</w:t>
      </w:r>
    </w:p>
    <w:p>
      <w:r>
        <w:t xml:space="preserve">Potsdam, den 18. März 2019</w:t>
      </w:r>
    </w:p>
    <w:p>
      <w:r>
        <w:t xml:space="preserve">Der Minister für Ländliche Entwicklung,</w:t>
      </w:r>
    </w:p>
    <w:p>
      <w:r>
        <w:t xml:space="preserve">Umwelt und Landwirtschaft</w:t>
      </w:r>
    </w:p>
    <w:p>
      <w:r>
        <w:t xml:space="preserve">Jörg Vogelsänger</w:t>
      </w:r>
    </w:p>
    <w:p>
      <w:r>
        <w:t xml:space="preserve">Anlagen</w:t>
      </w:r>
    </w:p>
    <w:p>
      <w:r>
        <w:t xml:space="preserve">1</w:t>
      </w:r>
    </w:p>
    <w:p>
      <w:r>
        <w:t xml:space="preserve">Anlage (zu § 1) - Gewässer und Gewässerabschnitte, an denen Überschwemmungsgebiete auszuweisen sind 309.7 KB</w:t>
      </w:r>
    </w:p>
    <w:p>
      <w:r>
        <w:rPr>
          <w:color w:val="555555"/>
          <w:sz w:val="17"/>
        </w:rPr>
        <w:t xml:space="preserve">Zitiervorschlag: § 2 ÜSGGewBestV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https://recht.nulegal.eu/gesetze/%C3%9CSGGewBestV/2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