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ÜNSchutzV</w:t>
      </w:r>
    </w:p>
    <w:p>
      <w:r>
        <w:rPr>
          <w:color w:val="555555"/>
          <w:sz w:val="18"/>
        </w:rPr>
        <w:t xml:space="preserve">Verordnung zum Schutz von Übertragungsnetzen</w:t>
      </w:r>
    </w:p>
    <w:p>
      <w:r>
        <w:rPr>
          <w:color w:val="555555"/>
          <w:sz w:val="18"/>
        </w:rPr>
        <w:t xml:space="preserve">Historische Fassung: Stand 10.06.2019 bis 17.03.2026. Dies ist nicht die aktuelle Fassung.</w:t>
      </w:r>
    </w:p>
    <w:p>
      <w:r>
        <w:t xml:space="preserve">Auf Grund des § 12g Absatz 3 des Energiewirtschaftsgesetzes vom 7. Juli 2005 (BGBl. I S. 1970, 3621), der durch Artikel 1 Nummer 10 des Gesetzes vom 26. Juli 2011 (BGBl. I S. 1554) eingefügt worden ist, verordnet die Bundesregierung:</w:t>
      </w:r>
    </w:p>
    <w:p>
      <w:r>
        <w:rPr>
          <w:color w:val="555555"/>
          <w:sz w:val="17"/>
        </w:rPr>
        <w:t xml:space="preserve">Zitiervorschlag: Eingangsformel ÜNSchutzV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https://recht.nulegal.eu/gesetze/%C3%9CNSchutzV/eingangsformel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