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ÜNSchutzV — Einstufung als Verschlusssache</w:t>
      </w:r>
    </w:p>
    <w:p>
      <w:r>
        <w:rPr>
          <w:color w:val="555555"/>
          <w:sz w:val="18"/>
        </w:rPr>
        <w:t xml:space="preserve">Verordnung zum Schutz von Übertragungsnetzen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Die Bundesnetzagentur entscheidet, welche Informationen, Berichte und Sicherheitspläne nach § 12g Absatz 4 des Energiewirtschaftsgesetzes als Verschlusssache einzustufen sind.</w:t>
      </w:r>
    </w:p>
    <w:p>
      <w:r>
        <w:rPr>
          <w:color w:val="555555"/>
          <w:sz w:val="17"/>
        </w:rPr>
        <w:t xml:space="preserve">Zitiervorschlag: § 6 ÜNSchutzV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https://recht.nulegal.eu/gesetze/%C3%9CNSchutzV/6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ÜNSchutzV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