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ÜNSchutzV — Sicherheitspläne</w:t>
      </w:r>
    </w:p>
    <w:p>
      <w:r>
        <w:rPr>
          <w:color w:val="555555"/>
          <w:sz w:val="18"/>
        </w:rPr>
        <w:t xml:space="preserve">Verordnung zum Schutz von Übertragungsnetzen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Spätestens vier Wochen nach der Festlegung der Bundesnetzagentur nach § 12g Absatz 1 Satz 2 des Energiewirtschaftsgesetzes hat der Betreiber einer europäisch kritischen Anlage der Bundesnetzagentur zum Schutz des Übertragungsnetzes einen Sicherheitsplan vorzulegen, der mindestens folgende Angaben enthält:</w:t>
      </w:r>
    </w:p>
    <w:p>
      <w:pPr>
        <w:ind w:left="420"/>
      </w:pPr>
      <w:r>
        <w:t xml:space="preserve">1. Nennung der nach § 12g Absatz 1 des Energiewirtschaftsgesetzes bestimmten europäisch kritischen Anlage,</w:t>
      </w:r>
    </w:p>
    <w:p>
      <w:pPr>
        <w:ind w:left="420"/>
      </w:pPr>
      <w:r>
        <w:t xml:space="preserve">2. Ergebnisse einer Risikoanalyse, die sich auf die in § 1 Absatz 2 genannten Gefährdungsszenarien, die Schwachstellen der europäisch kritischen Anlage und die möglichen Auswirkungen bezieht,</w:t>
      </w:r>
    </w:p>
    <w:p>
      <w:pPr>
        <w:ind w:left="420"/>
      </w:pPr>
      <w:r>
        <w:t xml:space="preserve">3. Ermittlung, Auswahl und Rangfolge von Gegenmaßnahmen und Verfahren; dabei ist zu unterscheiden zwischen</w:t>
      </w:r>
    </w:p>
    <w:p>
      <w:pPr>
        <w:ind w:left="780"/>
      </w:pPr>
      <w:r>
        <w:t xml:space="preserve">a) permanenten Sicherheitsvorkehrungen, die unerlässliche Sicherheitsinvestitionen und Vorkehrungen umfassen, die jederzeit anzuwenden sind; hierunter fallen Informationen über die folgenden Maßnahmen allgemeiner Art:</w:t>
      </w:r>
    </w:p>
    <w:p>
      <w:pPr>
        <w:ind w:left="1140"/>
      </w:pPr>
      <w:r>
        <w:t xml:space="preserve">aa) Technische Maßnahmen, insbesondere die Einführung von Erkennungssystemen, Zugangskontrollen sowie Schutz- und Präventivmaßnahmen,</w:t>
      </w:r>
    </w:p>
    <w:p>
      <w:pPr>
        <w:ind w:left="1140"/>
      </w:pPr>
      <w:r>
        <w:t xml:space="preserve">bb) organisatorische Maßnahmen, insbesondere Verfahren für den Alarmfall und die Krisenbewältigung,</w:t>
      </w:r>
    </w:p>
    <w:p>
      <w:pPr>
        <w:ind w:left="1140"/>
      </w:pPr>
      <w:r>
        <w:t xml:space="preserve">cc) Überwachungs- und Überprüfungsmaßnahmen,</w:t>
      </w:r>
    </w:p>
    <w:p>
      <w:pPr>
        <w:ind w:left="1140"/>
      </w:pPr>
      <w:r>
        <w:t xml:space="preserve">dd) Kommunikation,</w:t>
      </w:r>
    </w:p>
    <w:p>
      <w:pPr>
        <w:ind w:left="1140"/>
      </w:pPr>
      <w:r>
        <w:t xml:space="preserve">ee) Sensibilisierung und Ausbildung sowie</w:t>
      </w:r>
    </w:p>
    <w:p>
      <w:pPr>
        <w:ind w:left="1140"/>
      </w:pPr>
      <w:r>
        <w:t xml:space="preserve">ff) die Sicherung von Informationssystemen, und</w:t>
      </w:r>
    </w:p>
    <w:p>
      <w:pPr>
        <w:ind w:left="780"/>
      </w:pPr>
      <w:r>
        <w:t xml:space="preserve">b) abgestuften Sicherheitsvorkehrungen, die je nach Ausmaß des Risikos und der Bedrohung ergriffen werden können.</w:t>
      </w:r>
    </w:p>
    <w:p>
      <w:r>
        <w:t xml:space="preserve">(2) Absatz 1 gilt auch, wenn der Inhalt der Festlegung nach § 12g Absatz 1 Satz 2 des Energiewirtschaftsgesetzes nicht von dem Inhalt der vorherigen Festlegung abweicht.</w:t>
      </w:r>
    </w:p>
    <w:p>
      <w:r>
        <w:t xml:space="preserve">(3) Die Frist nach Absatz 1 verlängert sich auf drei Monate, wenn die Bundesnetzagentur bei der Festlegung einer Anlage nach § 2 von den Vorschlägen in einem Bericht eines Übertragungsnetzbetreibers nach § 1 abweicht.</w:t>
      </w:r>
    </w:p>
    <w:p>
      <w:r>
        <w:rPr>
          <w:color w:val="555555"/>
          <w:sz w:val="17"/>
        </w:rPr>
        <w:t xml:space="preserve">Zitiervorschlag: § 4 ÜNSchutzV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https://recht.nulegal.eu/gesetze/%C3%9CNSchutzV/4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