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ÜNSchutzV — Sicherheitsbeauftragte</w:t>
      </w:r>
    </w:p>
    <w:p>
      <w:r>
        <w:rPr>
          <w:color w:val="555555"/>
          <w:sz w:val="18"/>
        </w:rPr>
        <w:t xml:space="preserve">Verordnung zum Schutz von Übertragungsnetzen</w:t>
      </w:r>
    </w:p>
    <w:p>
      <w:r>
        <w:rPr>
          <w:color w:val="555555"/>
          <w:sz w:val="18"/>
        </w:rPr>
        <w:t xml:space="preserve">Historische Fassung: Stand 10.06.2019 bis 17.03.2026. Dies ist nicht die aktuelle Fassung.</w:t>
      </w:r>
    </w:p>
    <w:p>
      <w:r>
        <w:t xml:space="preserve">(1) Spätestens zwei Wochen nach der Festlegung der Bundesnetzagentur nach § 12g Absatz 1 Satz 2 des Energiewirtschaftsgesetzes hat der Betreiber einer europäisch kritischen Anlage der Bundesnetzagentur zum Schutz des Übertragungsnetzes die Bestimmung einer oder eines Sicherheitsbeauftragten nachzuweisen.</w:t>
      </w:r>
    </w:p>
    <w:p>
      <w:r>
        <w:t xml:space="preserve">(2) Die oder der Sicherheitsbeauftragte ist Kontaktperson der Behörden in Sicherheitsfragen und soll über den Bericht nach § 1 und die Sicherheitspläne nach § 4 Auskunft geben können.</w:t>
      </w:r>
    </w:p>
    <w:p>
      <w:r>
        <w:rPr>
          <w:color w:val="555555"/>
          <w:sz w:val="17"/>
        </w:rPr>
        <w:t xml:space="preserve">Zitiervorschlag: § 3 ÜNSchutzV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https://recht.nulegal.eu/gesetze/%C3%9CNSchutzV/3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