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ÜNSchutzV — Festlegung europäisch kritischer Anlagen</w:t>
      </w:r>
    </w:p>
    <w:p>
      <w:r>
        <w:rPr>
          <w:color w:val="555555"/>
          <w:sz w:val="18"/>
        </w:rPr>
        <w:t xml:space="preserve">Verordnung zum Schutz von Übertragungsnetzen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(1) Innerhalb von zwei Monaten nach Erhalt des Berichts nach § 1 bestimmt die Bundesnetzagentur durch Festlegung gemäß § 12g Absatz 1 Satz 2 des Energiewirtschaftsgesetzes europäisch kritische Anlagen. Sie beachtet dabei das Verfahren in Anhang III der Richtlinie 2008/114/EG des Rates vom 8. Dezember 2008 über die Ermittlung und Ausweisung europäischer kritischer Infrastrukturen und die Bewertung der Notwendigkeit, ihren Schutz zu verbessern (ABl. L 345 vom 23.12.2008, S. 75). Grundlage für die Festlegung sind die in § 1 Absatz 2 genannten Gefährdungsszenarien und der Bericht nach § 12g Absatz 1 Satz 3 des Energiewirtschaftsgesetzes.</w:t>
      </w:r>
    </w:p>
    <w:p>
      <w:r>
        <w:t xml:space="preserve">(2) Soll eine Anlage erstmals als europäisch kritische Anlage bestimmt werden, so ist vorher durch das Bundesministerium für Wirtschaft und Energie eine Konsultation nach Artikel 4 Absatz 1 bis 3 der Richtlinie 2008/114/EG durchzuführen. Die Bundesnetzagentur berücksichtigt das Ergebnis der Konsultation bei ihrer Entscheidung hinsichtlich der Festlegung. Die Festlegung erfolgt ungeachtet der in Absatz 1 genannten Frist innerhalb von zwei Monaten nach Abschluss der Konsultation.</w:t>
      </w:r>
    </w:p>
    <w:p>
      <w:r>
        <w:rPr>
          <w:color w:val="555555"/>
          <w:sz w:val="17"/>
        </w:rPr>
        <w:t xml:space="preserve">Zitiervorschlag: § 2 ÜNSchutzV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https://recht.nulegal.eu/gesetze/%C3%9CNSchutzV/2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