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ÜDPO (Bayern) — Fälligkeit</w:t>
      </w:r>
    </w:p>
    <w:p>
      <w:r>
        <w:rPr>
          <w:color w:val="555555"/>
          <w:sz w:val="18"/>
        </w:rPr>
        <w:t xml:space="preserve">Prüfungsordnung für Übersetzer und 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Bearbeitungsgebühr ist mit dem Antrag auf Zulassung zur Prüfung zu entrichten.</w:t>
      </w:r>
    </w:p>
    <w:p>
      <w:r>
        <w:t xml:space="preserve">(2) Die Prüfungsgebühr muss spätestens 14 Tage nach Zulassung bei der Staatsoberkasse Bayern eingegangen sein, andernfalls ist die Zulassung hinfällig.</w:t>
      </w:r>
    </w:p>
    <w:p>
      <w:r>
        <w:rPr>
          <w:color w:val="555555"/>
          <w:sz w:val="17"/>
        </w:rPr>
        <w:t xml:space="preserve">Zitiervorschlag: § 27 ÜDPO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https://recht.nulegal.eu/gesetze/%C3%9CDPO/27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