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ÜAnlG — Übergangsvorschriften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(1) Bis zur Bestimmung eines Katalogs überwachungsbedürftiger Anlagen in einer Rechtsverordnung gemäß § 31 Satz 2 Nummer 1 gelten die in § 2 Nummer 30 des Produktsicherheitsgesetzes vom 8. November 2011 (BGBl. I S. 2178, 2179; 2012 I S. 131) in der Fassung der Änderung vom 19. Juni 2020 (BGBl. I S. 1328) genannten überwachungsbedürftigen Anlagen als überwachungsbedürftige Anlagen im Sinne dieses Gesetzes.</w:t>
      </w:r>
    </w:p>
    <w:p>
      <w:r>
        <w:t xml:space="preserve">(2) Bis zum Erlass einer in § 11 Absatz 5 genannten Rechtsverordnung richtet sich die Pflicht zur Übermittlung der in § 11 Absatz 2 genannten Daten sowie die Erhebung der in § 11 Absatz 4 genannten Kosten nach den aufgrund von § 37 Absatz 4 des Produktsicherheitsgesetzes vom 8. November 2011 (BGBl. I S. 2178, 2179; 2012 I S. 131) in der Fassung der Änderung vom 19. Juni 2020 (BGBl. I S. 1328) erlassenen Rechtsverordnungen der Länder.</w:t>
      </w:r>
    </w:p>
    <w:p>
      <w:r>
        <w:t xml:space="preserve">(3) Eine vor dem Inkrafttreten dieses Gesetzes erteilte Zulassung als zugelassene Überwachungsstelle gilt als solche gemäß § 19 oder § 20 dieses Gesetzes fort.</w:t>
      </w:r>
    </w:p>
    <w:p>
      <w:r>
        <w:rPr>
          <w:color w:val="555555"/>
          <w:sz w:val="17"/>
        </w:rPr>
        <w:t xml:space="preserve">Zitiervorschlag: § 34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