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ÜAnlG — Strafvorschriften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Mit Freiheitsstrafe bis zu einem Jahr oder mit Geldstrafe wird bestraft, wer eine in § 32 Absatz 1 Nummer 4, 5, 8, 12 Buchstabe b oder Nummer 14 Buchstabe a bezeichnete vorsätzliche Handlung beharrlich wiederholt oder durch eine solche vorsätzliche 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33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