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ÜAnlG — Zuständigkeit für die Aufsicht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31.07.2021 (konsolidierte Textfassung, kein amtliches Inkrafttretensdatum)</w:t>
      </w:r>
    </w:p>
    <w:p>
      <w:r>
        <w:t xml:space="preserve">(1) Die zuständigen Behörden der Länder haben die Einhaltung dieses Gesetzes und der auf Grund dieses Gesetzes erlassenen Rechtsverordnungen zu beaufsichtigen.</w:t>
      </w:r>
    </w:p>
    <w:p>
      <w:r>
        <w:t xml:space="preserve">(2) In einer Rechtsverordnung nach § 31 kann die Aufsicht für überwachungsbedürftige Anlagen der Bundesverwaltung einem Bundesministerium übertragen werden. Das jeweilige Bundesministerium kann die Aufsicht einer von ihm bestimmten Stelle übertragen. § 48 des Bundeswasserstraßengesetzes und § 4 des Bundesfernstraßengesetzes bleiben unberührt.</w:t>
      </w:r>
    </w:p>
    <w:p>
      <w:r>
        <w:rPr>
          <w:color w:val="555555"/>
          <w:sz w:val="17"/>
        </w:rPr>
        <w:t xml:space="preserve">Zitiervorschlag: § 26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