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ÜAnlG — Mitteilungspflichten gegenüber der Zulassungsbehörde</w:t>
      </w:r>
    </w:p>
    <w:p>
      <w:r>
        <w:rPr>
          <w:color w:val="555555"/>
          <w:sz w:val="18"/>
        </w:rPr>
        <w:t xml:space="preserve">Gesetz über überwachungsbedürftige Anlagen</w:t>
      </w:r>
    </w:p>
    <w:p>
      <w:r>
        <w:rPr>
          <w:color w:val="555555"/>
          <w:sz w:val="18"/>
        </w:rPr>
        <w:t xml:space="preserve">Stand: 31.07.2021 (konsolidierte Textfassung, kein amtliches Inkrafttretensdatum)</w:t>
      </w:r>
    </w:p>
    <w:p>
      <w:r>
        <w:t xml:space="preserve">Die zugelassene Überwachungsstelle muss der Zulassungsbehörde Änderungen, die für die Erteilung der Zulassung gemäß § 19 Absatz 1 Satz 1 oder § 20 Absatz 1 Satz 1 bedeutsam sind, unverzüglich mitteilen. Dies betrifft insbesondere</w:t>
      </w:r>
    </w:p>
    <w:p>
      <w:pPr>
        <w:ind w:left="420"/>
      </w:pPr>
      <w:r>
        <w:t xml:space="preserve">1. Änderungen der Leitung der zugelassenen Überwachungsstelle,</w:t>
      </w:r>
    </w:p>
    <w:p>
      <w:pPr>
        <w:ind w:left="420"/>
      </w:pPr>
      <w:r>
        <w:t xml:space="preserve">2. Adressänderungen,</w:t>
      </w:r>
    </w:p>
    <w:p>
      <w:pPr>
        <w:ind w:left="420"/>
      </w:pPr>
      <w:r>
        <w:t xml:space="preserve">3. gesellschaftsrechtliche Veränderungen und</w:t>
      </w:r>
    </w:p>
    <w:p>
      <w:pPr>
        <w:ind w:left="420"/>
      </w:pPr>
      <w:r>
        <w:t xml:space="preserve">4. Änderungen, die sich auf die Unabhängigkeit der Stelle, der Leitung oder des Personals auswirken.</w:t>
      </w:r>
    </w:p>
    <w:p>
      <w:r>
        <w:rPr>
          <w:color w:val="555555"/>
          <w:sz w:val="17"/>
        </w:rPr>
        <w:t xml:space="preserve">Zitiervorschlag: § 14 ÜAnlG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https://recht.nulegal.eu/gesetze/%C3%9CAnlG/14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