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ÜAG</w:t>
      </w:r>
    </w:p>
    <w:p>
      <w:r>
        <w:rPr>
          <w:color w:val="555555"/>
          <w:sz w:val="18"/>
        </w:rPr>
        <w:t xml:space="preserve">Überstellungsausführungsgesetz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Festhalteanordnung ist aufzuheben, sobald</w:t>
      </w:r>
    </w:p>
    <w:p>
      <w:pPr>
        <w:ind w:left="420"/>
      </w:pPr>
      <w:r>
        <w:t xml:space="preserve">a) eine Mitteilung des Vollstreckungsstaates nach Artikel 15 Buchstabe a des Übereinkommens vorliegt oder sich sonst ergibt, daß der Vollstreckungsstaat die Vollstreckung der Sanktion für abgeschlossen erachtet oder die Vollstreckung des Restes einer Sanktion zur Bewährung ausgesetzt hat,</w:t>
      </w:r>
    </w:p>
    <w:p>
      <w:pPr>
        <w:ind w:left="420"/>
      </w:pPr>
      <w:r>
        <w:t xml:space="preserve">b) die Hälfte der nach der im Geltungsbereich dieses Gesetzes verhängten oder nach der im Vollstreckungsstaat umgewandelten Sanktion zu verbüßenden Strafzeit abgelaufen ist,</w:t>
      </w:r>
    </w:p>
    <w:p>
      <w:pPr>
        <w:ind w:left="420"/>
      </w:pPr>
      <w:r>
        <w:t xml:space="preserve">c) die verurteilte Person seit dem Tage der Ergreifung insgesamt 18 Tage festgehalten ist, ohne daß eine Mitteilung nach Artikel 15 Buchstabe b des Übereinkommens vorliegt oder sonst feststeht, daß sie sich vor Abschluß der Vollstreckung dem Vollzug der Sanktion entzogen hat.</w:t>
      </w:r>
    </w:p>
    <w:p>
      <w:r>
        <w:t xml:space="preserve">(2) Wird die Festhalteanordnung nach Absatz 1 Buchstabe c aufgehoben oder wurde sie nach § 11 außer Vollzug gesetzt, so ist der verurteilten Person eine Abschrift dieser Entscheidung auszuhändigen. Diese steht einem Entlassungsschein nach § 5 gleich.</w:t>
      </w:r>
    </w:p>
    <w:p>
      <w:r>
        <w:rPr>
          <w:color w:val="555555"/>
          <w:sz w:val="17"/>
        </w:rPr>
        <w:t xml:space="preserve">Zitiervorschlag: § 7 ÜAG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https://recht.nulegal.eu/gesetze/%C3%9CAG/7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