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ÜAG</w:t>
      </w:r>
    </w:p>
    <w:p>
      <w:r>
        <w:rPr>
          <w:color w:val="555555"/>
          <w:sz w:val="18"/>
        </w:rPr>
        <w:t xml:space="preserve">Überstellungsausführungsgesetz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Zustimmung nach Artikel 7 Abs. 1 des Übereinkommens ist nach Belehrung zu Protokoll eines Richters zu erklären. Das Einverständnis kann nicht widerrufen werden.</w:t>
      </w:r>
    </w:p>
    <w:p>
      <w:r>
        <w:t xml:space="preserve">(2) Absatz 1 ist auf Vollstreckungsersuchen nach den Artikeln 2 und 3 des Zusatzprotokolls und nach den Artikeln 68 und 69 des Schengener Durchführungsübereinkommens nicht anzuwenden.</w:t>
      </w:r>
    </w:p>
    <w:p>
      <w:r>
        <w:rPr>
          <w:color w:val="555555"/>
          <w:sz w:val="17"/>
        </w:rPr>
        <w:t xml:space="preserve">Zitiervorschlag: § 3 ÜAG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https://recht.nulegal.eu/gesetze/%C3%9CAG/3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