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ÜAG</w:t>
      </w:r>
    </w:p>
    <w:p>
      <w:r>
        <w:rPr>
          <w:color w:val="555555"/>
          <w:sz w:val="18"/>
        </w:rPr>
        <w:t xml:space="preserve">Überstellungsausführungsgesetz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Vollstreckungsersuchen nach dem Übereinkommen, nach Artikel 2 des Zusatzprotokolls und nach den Artikeln 68 und 69 des Schengener Durchführungsübereinkommens ist § 71 Abs. 3 und 4 des Gesetzes über die internationale Rechtshilfe in Strafsachen nicht anzuwenden.</w:t>
      </w:r>
    </w:p>
    <w:p>
      <w:r>
        <w:t xml:space="preserve">(2) Bei Vollstreckungsersuchen nach Artikel 3 des Zusatzprotokolls ist § 71 Abs. 4 des Gesetzes über die internationale Rechtshilfe in Strafsachen anzuwenden.</w:t>
      </w:r>
    </w:p>
    <w:p>
      <w:r>
        <w:rPr>
          <w:color w:val="555555"/>
          <w:sz w:val="17"/>
        </w:rPr>
        <w:t xml:space="preserve">Zitiervorschlag: § 2 ÜAG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https://recht.nulegal.eu/gesetze/%C3%9CAG/2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