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ÜAG</w:t>
      </w:r>
    </w:p>
    <w:p>
      <w:r>
        <w:rPr>
          <w:color w:val="555555"/>
          <w:sz w:val="18"/>
        </w:rPr>
        <w:t xml:space="preserve">Überstellungsausführungsgesetz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gleichzeitig mit dem Übereinkommen vom 21. März 1983 über die Überstellung verurteilter Personen in Kraft.</w:t>
      </w:r>
    </w:p>
    <w:p>
      <w:r>
        <w:t xml:space="preserve">(2) Der Tag, an dem dieses Gesetz in Kraft tritt, ist im Bundesgesetzblatt bekanntzugeben.</w:t>
      </w:r>
    </w:p>
    <w:p>
      <w:r>
        <w:rPr>
          <w:color w:val="555555"/>
          <w:sz w:val="17"/>
        </w:rPr>
        <w:t xml:space="preserve">Zitiervorschlag: § 16 ÜAG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https://recht.nulegal.eu/gesetze/%C3%9CAG/16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