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14 ÜAG</w:t>
      </w:r>
    </w:p>
    <w:p>
      <w:r>
        <w:rPr>
          <w:color w:val="555555"/>
          <w:sz w:val="18"/>
        </w:rPr>
        <w:t xml:space="preserve">Überstellungsausführungsgesetz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Geht eine Mitteilung nach Artikel 15 Buchstabe b des Übereinkommens ein oder steht sonst innerhalb der Frist des § 7 Abs. 1 Buchstabe c fest, daß die verurteilte Person vor Abschluß der Vollstreckung sich dem Vollzug der Sanktion entzogen hat, so wird die Vollstreckung der Sanktion fortgesetzt.</w:t>
      </w:r>
    </w:p>
    <w:p>
      <w:r>
        <w:t xml:space="preserve">(2) Die aufgrund der Anordnung nach § 5 erlittene Haft sowie die im Vollstreckungsstaat erlittene Freiheitsentziehung ist auf die noch zu vollstreckende Restfreiheitsstrafe anzurechnen. § 450a Abs. 2 der Strafprozeßordnung gilt entsprechend.</w:t>
      </w:r>
    </w:p>
    <w:p>
      <w:r>
        <w:rPr>
          <w:color w:val="555555"/>
          <w:sz w:val="17"/>
        </w:rPr>
        <w:t xml:space="preserve">Zitiervorschlag: § 14 ÜAG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https://recht.nulegal.eu/gesetze/%C3%9CAG/14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14 ÜAG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