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ÜAG</w:t>
      </w:r>
    </w:p>
    <w:p>
      <w:r>
        <w:rPr>
          <w:color w:val="555555"/>
          <w:sz w:val="18"/>
        </w:rPr>
        <w:t xml:space="preserve">Überstellungsausführungsgesetz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den Vollzug der Haft auf Grund einer Anordnung nach § 5 gelten die Vorschriften über den Vollzug der Untersuchungshaft entsprechend.</w:t>
      </w:r>
    </w:p>
    <w:p>
      <w:r>
        <w:t xml:space="preserve">(2) Die ehemalige Vollstreckungsbehörde bestimmt die Anstalt, in welcher der Ergriffene zu verwahren ist.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12 ÜAG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